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D36" w:rsidRDefault="00416D36" w:rsidP="00416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Б Ъ Я В Л Е Н И Е</w:t>
      </w:r>
    </w:p>
    <w:p w:rsidR="00416D36" w:rsidRDefault="007716A6" w:rsidP="00A83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16D36">
        <w:rPr>
          <w:rFonts w:ascii="Times New Roman" w:hAnsi="Times New Roman" w:cs="Times New Roman"/>
          <w:sz w:val="24"/>
          <w:szCs w:val="24"/>
        </w:rPr>
        <w:t xml:space="preserve"> проведении отбора в целях предоставления субсидий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D36">
        <w:rPr>
          <w:rFonts w:ascii="Times New Roman" w:hAnsi="Times New Roman" w:cs="Times New Roman"/>
          <w:sz w:val="24"/>
          <w:szCs w:val="24"/>
        </w:rPr>
        <w:t xml:space="preserve"> вывоз жидких бытовых отходов из бюджета Усть-Кутского муниципального образования (городского поселения)</w:t>
      </w:r>
    </w:p>
    <w:p w:rsidR="00A837A5" w:rsidRDefault="00267D70" w:rsidP="00A83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01.01.2025 по 30</w:t>
      </w:r>
      <w:bookmarkStart w:id="0" w:name="_GoBack"/>
      <w:bookmarkEnd w:id="0"/>
      <w:r w:rsidR="00A837A5">
        <w:rPr>
          <w:rFonts w:ascii="Times New Roman" w:hAnsi="Times New Roman" w:cs="Times New Roman"/>
          <w:sz w:val="24"/>
          <w:szCs w:val="24"/>
        </w:rPr>
        <w:t>.11.2025 года.</w:t>
      </w:r>
    </w:p>
    <w:p w:rsidR="00416D36" w:rsidRPr="00416D36" w:rsidRDefault="00416D36" w:rsidP="00416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8"/>
        <w:gridCol w:w="3699"/>
        <w:gridCol w:w="5245"/>
      </w:tblGrid>
      <w:tr w:rsidR="00416D36" w:rsidTr="008A3BE8">
        <w:tc>
          <w:tcPr>
            <w:tcW w:w="9322" w:type="dxa"/>
            <w:gridSpan w:val="3"/>
          </w:tcPr>
          <w:p w:rsidR="00416D36" w:rsidRDefault="00416D36" w:rsidP="00416D36">
            <w:pPr>
              <w:tabs>
                <w:tab w:val="left" w:pos="3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Информация о проведении отбора</w:t>
            </w:r>
          </w:p>
        </w:tc>
      </w:tr>
      <w:tr w:rsidR="007704BA" w:rsidTr="008A3BE8">
        <w:tc>
          <w:tcPr>
            <w:tcW w:w="378" w:type="dxa"/>
          </w:tcPr>
          <w:p w:rsidR="00416D36" w:rsidRPr="00A837A5" w:rsidRDefault="00416D36" w:rsidP="00416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7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99" w:type="dxa"/>
          </w:tcPr>
          <w:p w:rsidR="00416D36" w:rsidRDefault="00416D36" w:rsidP="004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отбора</w:t>
            </w:r>
          </w:p>
        </w:tc>
        <w:tc>
          <w:tcPr>
            <w:tcW w:w="5245" w:type="dxa"/>
          </w:tcPr>
          <w:p w:rsidR="00416D36" w:rsidRDefault="007704BA" w:rsidP="00A8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837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.11.2024 </w:t>
            </w:r>
            <w:r w:rsidR="00A837A5">
              <w:rPr>
                <w:rFonts w:ascii="Times New Roman" w:hAnsi="Times New Roman" w:cs="Times New Roman"/>
                <w:sz w:val="24"/>
                <w:szCs w:val="24"/>
              </w:rPr>
              <w:t xml:space="preserve">с 9-00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837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71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A837A5">
              <w:rPr>
                <w:rFonts w:ascii="Times New Roman" w:hAnsi="Times New Roman" w:cs="Times New Roman"/>
                <w:sz w:val="24"/>
                <w:szCs w:val="24"/>
              </w:rPr>
              <w:t xml:space="preserve"> до 17-00</w:t>
            </w:r>
          </w:p>
        </w:tc>
      </w:tr>
      <w:tr w:rsidR="007704BA" w:rsidTr="008A3BE8">
        <w:tc>
          <w:tcPr>
            <w:tcW w:w="378" w:type="dxa"/>
          </w:tcPr>
          <w:p w:rsidR="00416D36" w:rsidRPr="00A837A5" w:rsidRDefault="00416D36" w:rsidP="00416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7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99" w:type="dxa"/>
          </w:tcPr>
          <w:p w:rsidR="00416D36" w:rsidRDefault="00416D36" w:rsidP="004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начала и окончания подачи заявок об участии в отборе</w:t>
            </w:r>
          </w:p>
        </w:tc>
        <w:tc>
          <w:tcPr>
            <w:tcW w:w="5245" w:type="dxa"/>
          </w:tcPr>
          <w:p w:rsidR="00416D36" w:rsidRDefault="007716A6" w:rsidP="004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в отборе предоставляются по адресу: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-Кут,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ул.Володарского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69, 3 этаж, каб.307</w:t>
            </w:r>
          </w:p>
          <w:p w:rsidR="007716A6" w:rsidRDefault="007716A6" w:rsidP="004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рабочие дни с 9-00 до 1</w:t>
            </w:r>
            <w:r w:rsidR="00364F0E">
              <w:rPr>
                <w:rFonts w:ascii="Times New Roman" w:hAnsi="Times New Roman" w:cs="Times New Roman"/>
                <w:sz w:val="24"/>
                <w:szCs w:val="24"/>
              </w:rPr>
              <w:t>7-00, перерыв  с 13-00 до 14-00 (время Иркутское)</w:t>
            </w:r>
          </w:p>
          <w:p w:rsidR="007716A6" w:rsidRDefault="00364F0E" w:rsidP="00A8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 подаются с </w:t>
            </w:r>
            <w:r w:rsidR="00A837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.11.2024 по </w:t>
            </w:r>
            <w:r w:rsidR="00A837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83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года</w:t>
            </w:r>
          </w:p>
        </w:tc>
      </w:tr>
      <w:tr w:rsidR="007704BA" w:rsidTr="008A3BE8">
        <w:tc>
          <w:tcPr>
            <w:tcW w:w="378" w:type="dxa"/>
          </w:tcPr>
          <w:p w:rsidR="00416D36" w:rsidRPr="00A837A5" w:rsidRDefault="00416D36" w:rsidP="00416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7A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99" w:type="dxa"/>
          </w:tcPr>
          <w:p w:rsidR="00416D36" w:rsidRDefault="00416D36" w:rsidP="004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7A5">
              <w:rPr>
                <w:rFonts w:ascii="Times New Roman" w:hAnsi="Times New Roman" w:cs="Times New Roman"/>
                <w:sz w:val="24"/>
                <w:szCs w:val="24"/>
              </w:rPr>
              <w:t>Адрес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5245" w:type="dxa"/>
          </w:tcPr>
          <w:p w:rsidR="00416D36" w:rsidRDefault="00267D70" w:rsidP="004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72F22" w:rsidRPr="0054730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http://www.admustkut.ru</w:t>
              </w:r>
            </w:hyperlink>
          </w:p>
          <w:p w:rsidR="00572F22" w:rsidRDefault="00572F22" w:rsidP="004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ссылка на раздел: </w:t>
            </w:r>
            <w:r w:rsidR="00A837A5" w:rsidRPr="00A837A5">
              <w:rPr>
                <w:rFonts w:ascii="Times New Roman" w:hAnsi="Times New Roman" w:cs="Times New Roman"/>
                <w:sz w:val="24"/>
                <w:szCs w:val="24"/>
              </w:rPr>
              <w:t>http://www.admustkut.ru/munitsipalitet/?SECTION_ID=472/</w:t>
            </w:r>
          </w:p>
        </w:tc>
      </w:tr>
      <w:tr w:rsidR="00416D36" w:rsidTr="008A3BE8">
        <w:tc>
          <w:tcPr>
            <w:tcW w:w="9322" w:type="dxa"/>
            <w:gridSpan w:val="3"/>
          </w:tcPr>
          <w:p w:rsidR="00416D36" w:rsidRPr="00A837A5" w:rsidRDefault="00416D36" w:rsidP="00416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7A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Информация о главном распорядителе бюджетных средств</w:t>
            </w:r>
          </w:p>
        </w:tc>
      </w:tr>
      <w:tr w:rsidR="007704BA" w:rsidTr="008A3BE8">
        <w:tc>
          <w:tcPr>
            <w:tcW w:w="378" w:type="dxa"/>
          </w:tcPr>
          <w:p w:rsidR="00416D36" w:rsidRPr="00A837A5" w:rsidRDefault="00416D36" w:rsidP="00416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7A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99" w:type="dxa"/>
          </w:tcPr>
          <w:p w:rsidR="00416D36" w:rsidRDefault="00416D36" w:rsidP="004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</w:tcPr>
          <w:p w:rsidR="00416D36" w:rsidRDefault="00364F0E" w:rsidP="004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Усть-Кутского муниципального образования (городского поселения)</w:t>
            </w:r>
          </w:p>
        </w:tc>
      </w:tr>
      <w:tr w:rsidR="007704BA" w:rsidTr="008A3BE8">
        <w:tc>
          <w:tcPr>
            <w:tcW w:w="378" w:type="dxa"/>
          </w:tcPr>
          <w:p w:rsidR="00416D36" w:rsidRPr="00A837A5" w:rsidRDefault="00416D36" w:rsidP="00416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7A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99" w:type="dxa"/>
          </w:tcPr>
          <w:p w:rsidR="00416D36" w:rsidRDefault="00416D36" w:rsidP="004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245" w:type="dxa"/>
          </w:tcPr>
          <w:p w:rsidR="00416D36" w:rsidRDefault="00364F0E" w:rsidP="004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666780,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-Кут,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ул.Володарского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</w:p>
        </w:tc>
      </w:tr>
      <w:tr w:rsidR="007704BA" w:rsidTr="008A3BE8">
        <w:tc>
          <w:tcPr>
            <w:tcW w:w="378" w:type="dxa"/>
          </w:tcPr>
          <w:p w:rsidR="00416D36" w:rsidRPr="00A837A5" w:rsidRDefault="00416D36" w:rsidP="00416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7A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99" w:type="dxa"/>
          </w:tcPr>
          <w:p w:rsidR="00416D36" w:rsidRDefault="00416D36" w:rsidP="004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245" w:type="dxa"/>
          </w:tcPr>
          <w:p w:rsidR="00416D36" w:rsidRDefault="00364F0E" w:rsidP="004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666780,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-Кут,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ул.Володарского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</w:p>
        </w:tc>
      </w:tr>
      <w:tr w:rsidR="007704BA" w:rsidTr="008A3BE8">
        <w:tc>
          <w:tcPr>
            <w:tcW w:w="378" w:type="dxa"/>
          </w:tcPr>
          <w:p w:rsidR="00416D36" w:rsidRPr="00A837A5" w:rsidRDefault="00416D36" w:rsidP="00416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7A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99" w:type="dxa"/>
          </w:tcPr>
          <w:p w:rsidR="00416D36" w:rsidRDefault="00416D36" w:rsidP="004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45" w:type="dxa"/>
          </w:tcPr>
          <w:p w:rsidR="00416D36" w:rsidRPr="00364F0E" w:rsidRDefault="00364F0E" w:rsidP="00364F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GLAVA@ADMUSTKUT.RU</w:t>
            </w:r>
          </w:p>
        </w:tc>
      </w:tr>
      <w:tr w:rsidR="00416D36" w:rsidTr="008A3BE8">
        <w:tc>
          <w:tcPr>
            <w:tcW w:w="9322" w:type="dxa"/>
            <w:gridSpan w:val="3"/>
          </w:tcPr>
          <w:p w:rsidR="00416D36" w:rsidRPr="00A837A5" w:rsidRDefault="00416D36" w:rsidP="00416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7A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Иная информация</w:t>
            </w:r>
          </w:p>
        </w:tc>
      </w:tr>
      <w:tr w:rsidR="007704BA" w:rsidTr="008A3BE8">
        <w:tc>
          <w:tcPr>
            <w:tcW w:w="378" w:type="dxa"/>
          </w:tcPr>
          <w:p w:rsidR="00416D36" w:rsidRPr="00A837A5" w:rsidRDefault="00416D36" w:rsidP="00416D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416D36" w:rsidRDefault="00416D36" w:rsidP="0041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16D36" w:rsidRDefault="00416D36" w:rsidP="0041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D36" w:rsidTr="008A3BE8">
        <w:tc>
          <w:tcPr>
            <w:tcW w:w="378" w:type="dxa"/>
          </w:tcPr>
          <w:p w:rsidR="00416D36" w:rsidRPr="00A837A5" w:rsidRDefault="00416D36" w:rsidP="00416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7A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99" w:type="dxa"/>
          </w:tcPr>
          <w:p w:rsidR="00416D36" w:rsidRDefault="00416D36" w:rsidP="004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</w:t>
            </w:r>
          </w:p>
        </w:tc>
        <w:tc>
          <w:tcPr>
            <w:tcW w:w="5245" w:type="dxa"/>
          </w:tcPr>
          <w:p w:rsidR="00416D36" w:rsidRDefault="00A837A5" w:rsidP="004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4F0E">
              <w:rPr>
                <w:rFonts w:ascii="Times New Roman" w:hAnsi="Times New Roman" w:cs="Times New Roman"/>
                <w:sz w:val="24"/>
                <w:szCs w:val="24"/>
              </w:rPr>
              <w:t>ывоз жидких бытовых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10 </w:t>
            </w:r>
            <w:r w:rsidRPr="00A837A5">
              <w:rPr>
                <w:rFonts w:ascii="Times New Roman" w:hAnsi="Times New Roman" w:cs="Times New Roman"/>
                <w:sz w:val="24"/>
                <w:szCs w:val="24"/>
              </w:rPr>
              <w:t>не канализованных многоквартирных домов  на территории Усть-Кутского муниципального образования (городского поселения)</w:t>
            </w:r>
            <w:r w:rsidRPr="00A837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следующим адресам:</w:t>
            </w:r>
          </w:p>
          <w:p w:rsidR="00A837A5" w:rsidRDefault="00A837A5" w:rsidP="00A8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ул.Щорса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45 – 2073,9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837A5" w:rsidRDefault="00A837A5" w:rsidP="00A8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Седова, 35а – 1213,2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837A5" w:rsidRDefault="00A837A5" w:rsidP="00A8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ул.Зверева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122 – 261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837A5" w:rsidRDefault="00A837A5" w:rsidP="00A8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Седова, 16 – 873,2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837A5" w:rsidRDefault="00A837A5" w:rsidP="00A8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27а – 739,2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837A5" w:rsidRDefault="00A837A5" w:rsidP="00A8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88 - 536 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837A5" w:rsidRDefault="00A837A5" w:rsidP="00A8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ул.Ковпака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 – 486,2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837A5" w:rsidRDefault="00A837A5" w:rsidP="00A8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6 – 726,2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837A5" w:rsidRDefault="00A837A5" w:rsidP="00A8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Первооткрывателей, 1 – 660,6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837A5" w:rsidRDefault="00A837A5" w:rsidP="00A8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18 – 731,11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7A5" w:rsidRDefault="00A837A5" w:rsidP="00A8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D36" w:rsidTr="008A3BE8">
        <w:tc>
          <w:tcPr>
            <w:tcW w:w="378" w:type="dxa"/>
          </w:tcPr>
          <w:p w:rsidR="00416D36" w:rsidRPr="00A837A5" w:rsidRDefault="00416D36" w:rsidP="00416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7A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99" w:type="dxa"/>
          </w:tcPr>
          <w:p w:rsidR="00416D36" w:rsidRDefault="007704BA" w:rsidP="004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5245" w:type="dxa"/>
          </w:tcPr>
          <w:p w:rsidR="00A837A5" w:rsidRDefault="00A837A5" w:rsidP="00A8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жидких бытовых отходов   </w:t>
            </w:r>
            <w:r w:rsidRPr="00A837A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A837A5">
              <w:rPr>
                <w:rFonts w:ascii="Times New Roman" w:hAnsi="Times New Roman" w:cs="Times New Roman"/>
                <w:sz w:val="24"/>
                <w:szCs w:val="24"/>
              </w:rPr>
              <w:t xml:space="preserve"> не канализованных многоквартирных домов  на территории Усть-Кутского муниципального образования (городского поселения)</w:t>
            </w:r>
            <w:r w:rsidRPr="00A837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следующим адресам:</w:t>
            </w:r>
          </w:p>
          <w:p w:rsidR="00A837A5" w:rsidRDefault="00A837A5" w:rsidP="00A8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ул.Щорса,45 – 2073,9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837A5" w:rsidRDefault="00A837A5" w:rsidP="00A8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Седова, 35а – 1213,2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837A5" w:rsidRDefault="00A837A5" w:rsidP="00A8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ул.Зверева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122 – 261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837A5" w:rsidRDefault="00A837A5" w:rsidP="00A8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Седова, 16 – 873,2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837A5" w:rsidRDefault="00A837A5" w:rsidP="00A8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27а – 739,2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837A5" w:rsidRDefault="00A837A5" w:rsidP="00A8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88 - 536 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837A5" w:rsidRDefault="00A837A5" w:rsidP="00A8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ул.Ковпака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 – 486,2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837A5" w:rsidRDefault="00A837A5" w:rsidP="00A8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6 – 726,2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837A5" w:rsidRDefault="00A837A5" w:rsidP="00A8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Первооткрывателей, 1 – 660,6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416D36" w:rsidRDefault="00A837A5" w:rsidP="00A8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18 – 731,11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6D36" w:rsidTr="008A3BE8">
        <w:tc>
          <w:tcPr>
            <w:tcW w:w="378" w:type="dxa"/>
          </w:tcPr>
          <w:p w:rsidR="00416D36" w:rsidRPr="00A837A5" w:rsidRDefault="007704BA" w:rsidP="00416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7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3699" w:type="dxa"/>
          </w:tcPr>
          <w:p w:rsidR="00416D36" w:rsidRDefault="007704BA" w:rsidP="004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 отбора</w:t>
            </w:r>
          </w:p>
        </w:tc>
        <w:tc>
          <w:tcPr>
            <w:tcW w:w="5245" w:type="dxa"/>
          </w:tcPr>
          <w:p w:rsidR="008A3BE8" w:rsidRPr="00A837A5" w:rsidRDefault="008A3BE8" w:rsidP="008A3BE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A3B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 участникам отбора устанавливаются следующие требования, которым они должны соответствовать </w:t>
            </w:r>
            <w:r w:rsidRPr="00A837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на 1-е </w:t>
            </w:r>
            <w:r w:rsidR="00A837A5" w:rsidRPr="00A837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ноября</w:t>
            </w:r>
            <w:r w:rsidRPr="00A837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:</w:t>
            </w:r>
          </w:p>
          <w:p w:rsidR="00540F01" w:rsidRPr="00A02BDE" w:rsidRDefault="00540F01" w:rsidP="00540F0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2B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540F01" w:rsidRPr="00A02BDE" w:rsidRDefault="00540F01" w:rsidP="00540F0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2B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540F01" w:rsidRPr="00A02BDE" w:rsidRDefault="00540F01" w:rsidP="00540F0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2B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</w:t>
            </w:r>
            <w:r w:rsidRPr="00A02B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массового уничтожения;</w:t>
            </w:r>
          </w:p>
          <w:p w:rsidR="00540F01" w:rsidRPr="00A02BDE" w:rsidRDefault="00540F01" w:rsidP="00540F0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2B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получатель субсидии (участник отбора) не получает средства из бюджета Усть-Кутского </w:t>
            </w:r>
            <w:r w:rsidRPr="00A02B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муниципального образования (городского поселения) на основании иных нормативных</w:t>
            </w:r>
            <w:r w:rsidRPr="00A02B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муниципальных правовых актов на цели, установленные правовым актом;</w:t>
            </w:r>
          </w:p>
          <w:p w:rsidR="00540F01" w:rsidRPr="00A02BDE" w:rsidRDefault="00540F01" w:rsidP="00540F0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2B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- 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влиянием";</w:t>
            </w:r>
          </w:p>
          <w:p w:rsidR="00540F01" w:rsidRPr="00A02BDE" w:rsidRDefault="00540F01" w:rsidP="00540F0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2B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-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540F01" w:rsidRPr="00A02BDE" w:rsidRDefault="00540F01" w:rsidP="00540F0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2B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у получателя субсидии (участника отбора) отсутствуют просроченная задолженность по возврату в бюджет Усть-Кутского муниципального образования (городского поселения) иных субсидий, бюджетных инвестиций, а также иная просроченная (неурегулированная) задолженность по денежным обязательствам перед Усть-Кутским муниципальным образованием (городским поселением), </w:t>
            </w:r>
          </w:p>
          <w:p w:rsidR="00540F01" w:rsidRPr="00A02BDE" w:rsidRDefault="00540F01" w:rsidP="00540F0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2B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      </w:r>
          </w:p>
          <w:p w:rsidR="00540F01" w:rsidRPr="00A02BDE" w:rsidRDefault="00540F01" w:rsidP="00540F0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2B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</w:t>
            </w:r>
            <w:r w:rsidRPr="00A02B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      </w:r>
          </w:p>
          <w:p w:rsidR="00416D36" w:rsidRPr="00A02BDE" w:rsidRDefault="00416D36" w:rsidP="0041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D36" w:rsidTr="008A3BE8">
        <w:tc>
          <w:tcPr>
            <w:tcW w:w="378" w:type="dxa"/>
          </w:tcPr>
          <w:p w:rsidR="00416D36" w:rsidRPr="00A837A5" w:rsidRDefault="007704BA" w:rsidP="00A02B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7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3699" w:type="dxa"/>
          </w:tcPr>
          <w:p w:rsidR="00416D36" w:rsidRDefault="007704BA" w:rsidP="00A0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необходимых для участия в отборе</w:t>
            </w:r>
          </w:p>
        </w:tc>
        <w:tc>
          <w:tcPr>
            <w:tcW w:w="5245" w:type="dxa"/>
          </w:tcPr>
          <w:p w:rsidR="00416D36" w:rsidRDefault="00EC6054" w:rsidP="00A0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участия в отборе участник отбора в срок, установленный в разделе 1 настоящего объявления</w:t>
            </w:r>
            <w:r w:rsidR="00152C31">
              <w:rPr>
                <w:rFonts w:ascii="Times New Roman" w:hAnsi="Times New Roman" w:cs="Times New Roman"/>
                <w:sz w:val="24"/>
                <w:szCs w:val="24"/>
              </w:rPr>
              <w:t>, представляет в комитет экономики и прогнозирования заявку, подписанную участником отбора (представителем участника отбора), в которой указываются:</w:t>
            </w:r>
          </w:p>
          <w:p w:rsidR="00152C31" w:rsidRDefault="00152C31" w:rsidP="00A0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-фамилия, имя, отчество (при наличии), адрес электронной почты (для физических лиц);</w:t>
            </w:r>
          </w:p>
          <w:p w:rsidR="00152C31" w:rsidRDefault="00152C31" w:rsidP="00A0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-наименование, место нахождения, адрес электронного адрес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лиц);</w:t>
            </w:r>
          </w:p>
          <w:p w:rsidR="00152C31" w:rsidRDefault="00152C31" w:rsidP="00A0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  <w:r w:rsidR="00F94B6A">
              <w:rPr>
                <w:rFonts w:ascii="Times New Roman" w:hAnsi="Times New Roman" w:cs="Times New Roman"/>
                <w:sz w:val="24"/>
                <w:szCs w:val="24"/>
              </w:rPr>
              <w:t xml:space="preserve"> далее-ЕРГЮЛ)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лиц);</w:t>
            </w:r>
          </w:p>
          <w:p w:rsidR="00152C31" w:rsidRDefault="00152C31" w:rsidP="00A0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  <w:r w:rsidR="00F94B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94B6A">
              <w:rPr>
                <w:rFonts w:ascii="Times New Roman" w:hAnsi="Times New Roman" w:cs="Times New Roman"/>
                <w:sz w:val="24"/>
                <w:szCs w:val="24"/>
              </w:rPr>
              <w:t xml:space="preserve">далее- ЕГРИП)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для  индивидуальных предпринимателей);</w:t>
            </w:r>
          </w:p>
          <w:p w:rsidR="00152C31" w:rsidRDefault="00152C31" w:rsidP="00A0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идентификационный номер налогоплательщика;</w:t>
            </w:r>
          </w:p>
          <w:p w:rsidR="00152C31" w:rsidRDefault="00152C31" w:rsidP="00A0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цель предоставления субсидии в соответствии с Порядком;</w:t>
            </w:r>
          </w:p>
          <w:p w:rsidR="00152C31" w:rsidRDefault="00152C31" w:rsidP="00A0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согласие на публикацию (размещение)  в информационно-телекоммуникационной сети «Интернет» информации об участнике отбора, о подаваемой заявке, иной информации об участнике отбора, связанной с участием в отборе;</w:t>
            </w:r>
          </w:p>
          <w:p w:rsidR="00152C31" w:rsidRDefault="00152C31" w:rsidP="00A0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-согласие не обработку персональных данных в соответствии с Федеральным законом от 27.07.2006 г. № 152-ФЗ «О персональных данных» (для физических лиц).</w:t>
            </w:r>
          </w:p>
          <w:p w:rsidR="00152C31" w:rsidRDefault="00152C31" w:rsidP="00A0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заявке прилагаются следующие документы:</w:t>
            </w:r>
          </w:p>
          <w:p w:rsidR="00152C31" w:rsidRDefault="00152C31" w:rsidP="00A0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94B6A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учредительные документы, выписка из ЕГРЮЛ, полученная не ранее чем за 30 дней до даты подачи </w:t>
            </w:r>
            <w:r w:rsidR="00D205C7">
              <w:rPr>
                <w:rFonts w:ascii="Times New Roman" w:hAnsi="Times New Roman" w:cs="Times New Roman"/>
                <w:sz w:val="24"/>
                <w:szCs w:val="24"/>
              </w:rPr>
              <w:t>заявки (допускается представление вы</w:t>
            </w:r>
            <w:r w:rsidR="00F94B6A">
              <w:rPr>
                <w:rFonts w:ascii="Times New Roman" w:hAnsi="Times New Roman" w:cs="Times New Roman"/>
                <w:sz w:val="24"/>
                <w:szCs w:val="24"/>
              </w:rPr>
              <w:t>писки, за</w:t>
            </w:r>
            <w:r w:rsidR="00D205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4B6A">
              <w:rPr>
                <w:rFonts w:ascii="Times New Roman" w:hAnsi="Times New Roman" w:cs="Times New Roman"/>
                <w:sz w:val="24"/>
                <w:szCs w:val="24"/>
              </w:rPr>
              <w:t xml:space="preserve">еренной усиленной квалифицированной электронной подписью Федеральной налоговой службы России, с сайта </w:t>
            </w:r>
            <w:proofErr w:type="spellStart"/>
            <w:r w:rsidR="00D20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nalog</w:t>
            </w:r>
            <w:proofErr w:type="spellEnd"/>
            <w:r w:rsidR="00D205C7" w:rsidRPr="00D20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20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D205C7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</w:t>
            </w:r>
            <w:proofErr w:type="gramStart"/>
            <w:r w:rsidR="00D205C7">
              <w:rPr>
                <w:rFonts w:ascii="Times New Roman" w:hAnsi="Times New Roman" w:cs="Times New Roman"/>
                <w:sz w:val="24"/>
                <w:szCs w:val="24"/>
              </w:rPr>
              <w:t>( для</w:t>
            </w:r>
            <w:proofErr w:type="gramEnd"/>
            <w:r w:rsidR="00D205C7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лиц);</w:t>
            </w:r>
          </w:p>
          <w:p w:rsidR="00D205C7" w:rsidRDefault="00D205C7" w:rsidP="00A0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документ, удостоверяющий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личность,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 ЕГРИП, полученная не ранее чем за 30 дней до даты подачи заявки (допускается представление выписки, заверенной усиленной квалифицированной электронной подписью Федеральной налоговой службы России, с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nalog</w:t>
            </w:r>
            <w:proofErr w:type="spellEnd"/>
            <w:r w:rsidRPr="00D20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( для индивидуальных предпринимателей).</w:t>
            </w:r>
          </w:p>
          <w:p w:rsidR="00D205C7" w:rsidRDefault="00D205C7" w:rsidP="00A0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1447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удостоверяющие личность и подтверждающие полномочия представителя участника отбора </w:t>
            </w:r>
            <w:proofErr w:type="gramStart"/>
            <w:r w:rsidR="00014471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="00014471">
              <w:rPr>
                <w:rFonts w:ascii="Times New Roman" w:hAnsi="Times New Roman" w:cs="Times New Roman"/>
                <w:sz w:val="24"/>
                <w:szCs w:val="24"/>
              </w:rPr>
              <w:t xml:space="preserve"> случае если с заявкой  обращается представитель участника отбора),</w:t>
            </w:r>
          </w:p>
          <w:p w:rsidR="00014471" w:rsidRDefault="00014471" w:rsidP="00A0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справка о наличии расчетного счета или корреспондентского счета, открытого участником отбора в учреждении Центрального банка Российской Федерации или кредитной организации, на который  предполагается перечисление субсидии и об отсутствии требований к нему.</w:t>
            </w:r>
          </w:p>
          <w:p w:rsidR="00F8705D" w:rsidRDefault="00014471" w:rsidP="00A02BD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37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8705D" w:rsidRPr="00A837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справка о наличии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агента.</w:t>
            </w:r>
          </w:p>
          <w:p w:rsidR="00F8705D" w:rsidRDefault="00F8705D" w:rsidP="00A02BD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F87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F8705D">
              <w:rPr>
                <w:rFonts w:ascii="Times New Roman" w:hAnsi="Times New Roman" w:cs="Times New Roman"/>
                <w:sz w:val="24"/>
                <w:szCs w:val="24"/>
              </w:rPr>
              <w:t xml:space="preserve"> 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Федеральной налоговой службы от 20.01.2017 № ММВ-7-8/20@, выданная в отношении участника отбора по состоянию  не ранее  чем за 10 дней до даты подачи заявки (допускается представление справки, заверенной электронной подписью органа, выдавшего справку, полученной в информационно-телекоммуникационной сети «Интернет»)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05D" w:rsidRDefault="00F8705D" w:rsidP="00A02BD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F8705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общего собрания собственников помещений в многоквартирном </w:t>
            </w:r>
            <w:r w:rsidRPr="00F8705D">
              <w:rPr>
                <w:rFonts w:ascii="Times New Roman" w:hAnsi="Times New Roman" w:cs="Times New Roman"/>
                <w:b/>
                <w:sz w:val="24"/>
                <w:szCs w:val="24"/>
              </w:rPr>
              <w:t>доме о выборе способа управления многоквартирным домом и выборе управляющей организации</w:t>
            </w:r>
            <w:r w:rsidRPr="00F8705D">
              <w:rPr>
                <w:rFonts w:ascii="Times New Roman" w:hAnsi="Times New Roman" w:cs="Times New Roman"/>
                <w:sz w:val="24"/>
                <w:szCs w:val="24"/>
              </w:rPr>
              <w:t>, о создании товарищества собственников жилья, жилищного, жилищно-строительного или иного специализированного потребительского кооператива, лица, осуществляющего оказание услуг по содержанию и (или) выполнению работ по ремонту общего имущества в многоквартирном доме по договору с собственниками помещений такого дома при непосредственном управлении многоквартирным домом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05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общего </w:t>
            </w:r>
            <w:r w:rsidRPr="00F87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собрания собственников помещений в многоквартирном </w:t>
            </w:r>
            <w:r w:rsidRPr="00F8705D">
              <w:rPr>
                <w:rFonts w:ascii="Times New Roman" w:hAnsi="Times New Roman" w:cs="Times New Roman"/>
                <w:b/>
                <w:sz w:val="24"/>
                <w:szCs w:val="24"/>
              </w:rPr>
              <w:t>доме о выборе способа управления многоквартирным домом и выборе управляющей организации</w:t>
            </w:r>
            <w:r w:rsidRPr="00F8705D">
              <w:rPr>
                <w:rFonts w:ascii="Times New Roman" w:hAnsi="Times New Roman" w:cs="Times New Roman"/>
                <w:sz w:val="24"/>
                <w:szCs w:val="24"/>
              </w:rPr>
              <w:t>, о создании товарищества собственников жилья, жилищного, жилищно-строительного или иного специализированного потребительского кооператива, лица, осуществляющего оказание услуг по содержанию и (или) выполнению работ по ремонту общего имущества в многоквартирном доме по договору с собственниками помещений такого дома при непосредственном управлении многоквартирным домом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05D" w:rsidRDefault="00F8705D" w:rsidP="00A02BD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8705D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общего собрания собственников помещений в многоквартирном доме</w:t>
            </w:r>
            <w:r w:rsidRPr="00F87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утверждении перечня услуг и работ по содержанию и ремонту общего имущества </w:t>
            </w:r>
            <w:r w:rsidRPr="00F8705D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 с указанием их объемов, условий, сроков их оказания и выполнения, стоимости</w:t>
            </w:r>
            <w:r w:rsidR="005620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837A5">
              <w:rPr>
                <w:rFonts w:ascii="Times New Roman" w:hAnsi="Times New Roman" w:cs="Times New Roman"/>
                <w:sz w:val="24"/>
                <w:szCs w:val="24"/>
              </w:rPr>
              <w:t xml:space="preserve">размера </w:t>
            </w:r>
            <w:r w:rsidR="00562007">
              <w:rPr>
                <w:rFonts w:ascii="Times New Roman" w:hAnsi="Times New Roman" w:cs="Times New Roman"/>
                <w:sz w:val="24"/>
                <w:szCs w:val="24"/>
              </w:rPr>
              <w:t>платы граждан за вывоз жидких бытовых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05D" w:rsidRDefault="00F8705D" w:rsidP="00A02BD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F8705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общего собрания собственников помещений в многоквартирном доме </w:t>
            </w:r>
            <w:r w:rsidRPr="00F8705D">
              <w:rPr>
                <w:rFonts w:ascii="Times New Roman" w:hAnsi="Times New Roman" w:cs="Times New Roman"/>
                <w:b/>
                <w:sz w:val="24"/>
                <w:szCs w:val="24"/>
              </w:rPr>
              <w:t>о назначении уполномоченного представителя для принятия выполненных работ</w:t>
            </w:r>
            <w:r w:rsidRPr="00F8705D">
              <w:rPr>
                <w:rFonts w:ascii="Times New Roman" w:hAnsi="Times New Roman" w:cs="Times New Roman"/>
                <w:sz w:val="24"/>
                <w:szCs w:val="24"/>
              </w:rPr>
              <w:t>, оказанных услуг и подписания акта приемки выполненных работ и (или) оказанных услуг (далее – акт приемки), на финансовое обеспечение (возмещение) затрат в связи с выполнением и (или) оказанием которых предоставляется субсидия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05D" w:rsidRDefault="00F8705D" w:rsidP="00A02BD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F8705D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управления многоквартирным домо</w:t>
            </w:r>
            <w:r w:rsidRPr="00F8705D">
              <w:rPr>
                <w:rFonts w:ascii="Times New Roman" w:hAnsi="Times New Roman" w:cs="Times New Roman"/>
                <w:sz w:val="24"/>
                <w:szCs w:val="24"/>
              </w:rPr>
              <w:t>м, договора на оказание услуг по содержанию и (или) выполнению работ по ремонту общего имущества в многоквартирном доме (при непосредственном управлении многоквартирным домом, при управлении товариществом собственников жилья, жилищным, жилищно-строительным или иным специализированным потребительским кооперативом)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05D" w:rsidRDefault="00F8705D" w:rsidP="00A02BD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F8705D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лицензия на право осуществления предпринимательской деятельности по управлению многоквартирными домами</w:t>
            </w:r>
            <w:r w:rsidRPr="00F8705D">
              <w:rPr>
                <w:rFonts w:ascii="Times New Roman" w:hAnsi="Times New Roman" w:cs="Times New Roman"/>
                <w:sz w:val="24"/>
                <w:szCs w:val="24"/>
              </w:rPr>
              <w:t xml:space="preserve">, выданная органом государственного жилищного надзора на основании решения комиссии по лицензированию деятельности по управлению многоквартирными домами на территории Иркутской области, либо сведения с сайта https://dom.gosuslugi.ru в информационно-телекоммуникационной сети «Интернет» о </w:t>
            </w:r>
            <w:r w:rsidRPr="00F87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 лицензии на право осуществлять предпринимательскую деятельность по управлению многоквартирными домами, где указан многоквартирный дом, в отношении которого участник отбора обращается за получением субсидии (для управляющих организаций)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05D" w:rsidRDefault="00F8705D" w:rsidP="00A02BD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F8705D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участника отбора</w:t>
            </w:r>
            <w:r w:rsidRPr="00F8705D">
              <w:rPr>
                <w:rFonts w:ascii="Times New Roman" w:hAnsi="Times New Roman" w:cs="Times New Roman"/>
                <w:sz w:val="24"/>
                <w:szCs w:val="24"/>
              </w:rPr>
              <w:t>, а также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 на финансовое обеспечение затрат в связи с выполнением работ, оказанием услуг (за исключением государственных (муниципальных) унитарных учреждений,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</w:t>
            </w:r>
            <w:r w:rsidRPr="008A3BE8">
              <w:rPr>
                <w:rFonts w:ascii="Times New Roman" w:hAnsi="Times New Roman" w:cs="Times New Roman"/>
                <w:sz w:val="24"/>
                <w:szCs w:val="24"/>
              </w:rPr>
              <w:t>), на осуществление администрацией и органами муниципального финансового контроля проверок</w:t>
            </w:r>
            <w:r w:rsidRPr="00F8705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условий, целей и порядка предоставления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05D" w:rsidRDefault="00F8705D" w:rsidP="00A02BD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F8705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органа местного самоуправления об определении управляющей организации</w:t>
            </w:r>
            <w:r w:rsidRPr="00F8705D">
              <w:rPr>
                <w:rFonts w:ascii="Times New Roman" w:hAnsi="Times New Roman" w:cs="Times New Roman"/>
                <w:sz w:val="24"/>
                <w:szCs w:val="24"/>
              </w:rPr>
              <w:t xml:space="preserve"> для управления многоквартирным домом,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 в случае, предусмотренном частью 17 статьи 161 Жилищного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471" w:rsidRDefault="00F8705D" w:rsidP="00A02BD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F8705D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на вывоз жидких бытовых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2007" w:rsidRPr="00562007" w:rsidRDefault="00562007" w:rsidP="00562007">
            <w:pPr>
              <w:pStyle w:val="Default"/>
              <w:jc w:val="both"/>
              <w:rPr>
                <w:color w:val="auto"/>
              </w:rPr>
            </w:pPr>
            <w:r w:rsidRPr="00562007">
              <w:t>15.</w:t>
            </w:r>
            <w:r w:rsidR="00A837A5">
              <w:t xml:space="preserve"> д</w:t>
            </w:r>
            <w:r w:rsidRPr="00562007">
              <w:rPr>
                <w:color w:val="auto"/>
              </w:rPr>
              <w:t>ля домов блокированной застройки прилагаются следующие документы: договор оказания услуг на вывоз жидких бытовых отходов, заключенный с управляющей компанией и договор оказания услуг по вывозу жидких бытовых услуг.</w:t>
            </w:r>
          </w:p>
          <w:p w:rsidR="00562007" w:rsidRPr="00D205C7" w:rsidRDefault="00562007" w:rsidP="00A02BD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D36" w:rsidTr="008A3BE8">
        <w:tc>
          <w:tcPr>
            <w:tcW w:w="378" w:type="dxa"/>
          </w:tcPr>
          <w:p w:rsidR="00416D36" w:rsidRPr="00A837A5" w:rsidRDefault="007704BA" w:rsidP="00416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7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3699" w:type="dxa"/>
          </w:tcPr>
          <w:p w:rsidR="00416D36" w:rsidRDefault="007704BA" w:rsidP="004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и требования, предъявляемые к форме и содержанию заявок</w:t>
            </w:r>
          </w:p>
        </w:tc>
        <w:tc>
          <w:tcPr>
            <w:tcW w:w="5245" w:type="dxa"/>
          </w:tcPr>
          <w:p w:rsidR="00416D36" w:rsidRDefault="00F8705D" w:rsidP="00704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подается в сроки и место, указанные в объявлении о проведении отбора. Копии документов принимаются при предъявлении подлинников</w:t>
            </w:r>
            <w:r w:rsidR="00704F00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если документы не заверены нотариально), если иное не предусмотрено законодательством Российской Федерации.</w:t>
            </w:r>
          </w:p>
          <w:p w:rsidR="00704F00" w:rsidRDefault="00704F00" w:rsidP="00704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 отбора вправе представить дополнительные документы, которые, по его мнению, имеют значение для принятия решения о предоставлении субсидии. </w:t>
            </w:r>
          </w:p>
          <w:p w:rsidR="00704F00" w:rsidRPr="00704F00" w:rsidRDefault="00704F00" w:rsidP="00704F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4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Заявка подается на бумажном носителе. Все листы заявки, а также прилагаемых документов, имеющие более одного листа, должны быть прошиты и заверены подписью руководителя или уполномоченного лица и скреплены печатью. Документы</w:t>
            </w:r>
            <w:r w:rsidRPr="00704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должны иметь подчистки либо приписки, зачеркивания и иные не оговоренные в них исправления, не должны быть заполнены карандашом, а так же не должны иметь повреждений.</w:t>
            </w:r>
          </w:p>
          <w:p w:rsidR="00704F00" w:rsidRDefault="00704F00" w:rsidP="00704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заполняется и подается по форме, указанной в приложении 1 настоящего объявления.</w:t>
            </w:r>
          </w:p>
        </w:tc>
      </w:tr>
      <w:tr w:rsidR="00416D36" w:rsidTr="008A3BE8">
        <w:tc>
          <w:tcPr>
            <w:tcW w:w="378" w:type="dxa"/>
          </w:tcPr>
          <w:p w:rsidR="00416D36" w:rsidRPr="00A837A5" w:rsidRDefault="007704BA" w:rsidP="00416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7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3699" w:type="dxa"/>
          </w:tcPr>
          <w:p w:rsidR="00416D36" w:rsidRDefault="007704BA" w:rsidP="004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отзыва заявок, порядок возврата заявок, определяющий, в том числе основания для возврата заявок, порядок внесения изменений</w:t>
            </w:r>
          </w:p>
        </w:tc>
        <w:tc>
          <w:tcPr>
            <w:tcW w:w="5245" w:type="dxa"/>
          </w:tcPr>
          <w:p w:rsidR="00416D36" w:rsidRPr="00704F00" w:rsidRDefault="00704F00" w:rsidP="00704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Участник отбора вправе внести изменения в свое предложение и документы, но не позднее дня окончания срока подачи заявок. Участник отбора вправе отозвать своё предложение и документы, но не позднее дня окончания срока подачи заявок. В иных случаях предоставленные участниками отбора к отбору документы не возвращаются, если иное не установлено в объявлении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</w:tr>
      <w:tr w:rsidR="00416D36" w:rsidTr="008A3BE8">
        <w:tc>
          <w:tcPr>
            <w:tcW w:w="378" w:type="dxa"/>
          </w:tcPr>
          <w:p w:rsidR="00416D36" w:rsidRPr="00A837A5" w:rsidRDefault="007704BA" w:rsidP="00416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7A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99" w:type="dxa"/>
          </w:tcPr>
          <w:p w:rsidR="00416D36" w:rsidRDefault="007704BA" w:rsidP="004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рассмотрения и оценки заявок</w:t>
            </w:r>
          </w:p>
        </w:tc>
        <w:tc>
          <w:tcPr>
            <w:tcW w:w="5245" w:type="dxa"/>
          </w:tcPr>
          <w:p w:rsidR="005C3AB3" w:rsidRPr="005C3AB3" w:rsidRDefault="005C3AB3" w:rsidP="005C3AB3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3A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Комиссия в течение 3 рабочих дней с момента получения заявок и документов:</w:t>
            </w:r>
          </w:p>
          <w:p w:rsidR="005C3AB3" w:rsidRPr="005C3AB3" w:rsidRDefault="005C3AB3" w:rsidP="005C3AB3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3A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принимает решение о соответствии (не соответствии) участника отбора и заявки участника отбора  требованиям,  установленным  пунктами  9, 10, 11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r w:rsidRPr="005C3A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орядка.</w:t>
            </w:r>
          </w:p>
          <w:p w:rsidR="005C3AB3" w:rsidRPr="005C3AB3" w:rsidRDefault="005C3AB3" w:rsidP="005C3AB3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3A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принимает решение о включении участника отбора  в перечень получателей субсидии на возмещение   затрат </w:t>
            </w:r>
            <w:r w:rsidRPr="005C3AB3">
              <w:rPr>
                <w:rFonts w:ascii="Times New Roman" w:hAnsi="Times New Roman" w:cs="Times New Roman"/>
                <w:sz w:val="24"/>
                <w:szCs w:val="24"/>
              </w:rPr>
              <w:t>(части затрат) в связи с вывозом жидких бытовых отходов из не канализованных многоквартирных домов  на территории Усть-Кутского муниципального образования (городского поселения)</w:t>
            </w:r>
            <w:r w:rsidRPr="005C3A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либо об отказе.</w:t>
            </w:r>
          </w:p>
          <w:p w:rsidR="00416D36" w:rsidRDefault="00416D36" w:rsidP="0041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D36" w:rsidTr="008A3BE8">
        <w:tc>
          <w:tcPr>
            <w:tcW w:w="378" w:type="dxa"/>
          </w:tcPr>
          <w:p w:rsidR="00416D36" w:rsidRPr="00A837A5" w:rsidRDefault="007704BA" w:rsidP="00416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7A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99" w:type="dxa"/>
          </w:tcPr>
          <w:p w:rsidR="00416D36" w:rsidRDefault="007704BA" w:rsidP="004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участникам отбора разъяснений положений объявления о проведении отбора, даты начала и окончания такого предоставления</w:t>
            </w:r>
          </w:p>
        </w:tc>
        <w:tc>
          <w:tcPr>
            <w:tcW w:w="5245" w:type="dxa"/>
          </w:tcPr>
          <w:p w:rsidR="005C3AB3" w:rsidRPr="005C3AB3" w:rsidRDefault="005C3AB3" w:rsidP="005C3AB3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отбора вправе не позднее, чем за 3 дня до дня окончания подачи заявок на участие в отборе, направить в письменной форме и (или) на адрес электронной почты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5C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министрации, указанный  в объявлении, запрос о разъяснении положений объявления о  проведения отбора. </w:t>
            </w:r>
          </w:p>
          <w:p w:rsidR="005C3AB3" w:rsidRPr="005C3AB3" w:rsidRDefault="005C3AB3" w:rsidP="005C3AB3">
            <w:pPr>
              <w:pStyle w:val="a4"/>
              <w:jc w:val="both"/>
            </w:pPr>
            <w:r w:rsidRPr="005C3AB3">
              <w:t xml:space="preserve">Ответы на запросы о разъяснении положений объявления о  проведения отбора предоставляются участникам отбора в течение 2 рабочих дней со дня поступления  запроса в Администрацию посредством связи, указанной </w:t>
            </w:r>
            <w:r w:rsidRPr="005C3AB3">
              <w:lastRenderedPageBreak/>
              <w:t>участником отбора в запросе.</w:t>
            </w:r>
          </w:p>
          <w:p w:rsidR="005C3AB3" w:rsidRPr="005C3AB3" w:rsidRDefault="005C3AB3" w:rsidP="005C3AB3">
            <w:pPr>
              <w:pStyle w:val="a4"/>
              <w:jc w:val="both"/>
            </w:pPr>
            <w:r w:rsidRPr="005C3AB3">
              <w:t>Разъяснение  положений объявления о  проведении отбора не должно изменять суть объявления о проведении отбора.</w:t>
            </w:r>
          </w:p>
          <w:p w:rsidR="00416D36" w:rsidRDefault="00416D36" w:rsidP="0041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D36" w:rsidTr="008A3BE8">
        <w:tc>
          <w:tcPr>
            <w:tcW w:w="378" w:type="dxa"/>
          </w:tcPr>
          <w:p w:rsidR="00416D36" w:rsidRPr="00A837A5" w:rsidRDefault="007704BA" w:rsidP="00416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7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3699" w:type="dxa"/>
          </w:tcPr>
          <w:p w:rsidR="00416D36" w:rsidRDefault="007704BA" w:rsidP="004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победитель отбора должен подписать соглашение</w:t>
            </w:r>
          </w:p>
        </w:tc>
        <w:tc>
          <w:tcPr>
            <w:tcW w:w="5245" w:type="dxa"/>
          </w:tcPr>
          <w:p w:rsidR="00416D36" w:rsidRPr="005C3AB3" w:rsidRDefault="005C3AB3" w:rsidP="005C3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течение 10 рабочих дней с даты подведения итогов отбора.</w:t>
            </w:r>
          </w:p>
        </w:tc>
      </w:tr>
      <w:tr w:rsidR="007704BA" w:rsidTr="008A3BE8">
        <w:tc>
          <w:tcPr>
            <w:tcW w:w="378" w:type="dxa"/>
          </w:tcPr>
          <w:p w:rsidR="00416D36" w:rsidRPr="00A837A5" w:rsidRDefault="007704BA" w:rsidP="00416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7A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99" w:type="dxa"/>
          </w:tcPr>
          <w:p w:rsidR="00416D36" w:rsidRDefault="007704BA" w:rsidP="004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признания победителя (победителей) отбора уклонившимся от заключения соглашения</w:t>
            </w:r>
          </w:p>
        </w:tc>
        <w:tc>
          <w:tcPr>
            <w:tcW w:w="5245" w:type="dxa"/>
          </w:tcPr>
          <w:p w:rsidR="005C3AB3" w:rsidRPr="00E57CF7" w:rsidRDefault="005C3AB3" w:rsidP="00E57CF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7CF7">
              <w:rPr>
                <w:rFonts w:ascii="Times New Roman" w:hAnsi="Times New Roman" w:cs="Times New Roman"/>
                <w:sz w:val="24"/>
                <w:szCs w:val="24"/>
              </w:rPr>
              <w:t>Если в течение 3 рабочих дней с момента направления соглашения, получатель субсидии не подписывает соглашение, то он считается уклонившимся</w:t>
            </w:r>
            <w:r w:rsidRPr="00E57CF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от заключения соглашения.</w:t>
            </w:r>
            <w:r w:rsidRPr="00E57CF7">
              <w:rPr>
                <w:rFonts w:ascii="Times New Roman" w:hAnsi="Times New Roman" w:cs="Times New Roman"/>
                <w:sz w:val="24"/>
                <w:szCs w:val="24"/>
              </w:rPr>
              <w:t xml:space="preserve"> Если участник отбора, признанный получателем субсидии, уклоняется от подписания соглашения, то получателем субсидии признается следующий участник отбора, соответствующий всем требованиям и критериям отбора.</w:t>
            </w:r>
          </w:p>
          <w:p w:rsidR="005C3AB3" w:rsidRPr="00E57CF7" w:rsidRDefault="005C3AB3" w:rsidP="00E57CF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7CF7">
              <w:rPr>
                <w:rFonts w:ascii="Times New Roman" w:hAnsi="Times New Roman" w:cs="Times New Roman"/>
                <w:sz w:val="24"/>
                <w:szCs w:val="24"/>
              </w:rPr>
              <w:t>Если участник отбора, признанный получателем субсидии, уклоняется от подписания соглашения, то получателем субсидии признается следующий участник отбора, соответствующий всем требованиям и критериям отбора.</w:t>
            </w:r>
          </w:p>
          <w:p w:rsidR="00416D36" w:rsidRDefault="00416D36" w:rsidP="0041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4BA" w:rsidTr="008A3BE8">
        <w:tc>
          <w:tcPr>
            <w:tcW w:w="378" w:type="dxa"/>
          </w:tcPr>
          <w:p w:rsidR="00416D36" w:rsidRPr="00A837A5" w:rsidRDefault="007704BA" w:rsidP="00416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7A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99" w:type="dxa"/>
          </w:tcPr>
          <w:p w:rsidR="00416D36" w:rsidRDefault="007704BA" w:rsidP="004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размещения результатов отбора на едином портале, сайте администрации Усть-Кутского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(городского поселения)</w:t>
            </w:r>
          </w:p>
        </w:tc>
        <w:tc>
          <w:tcPr>
            <w:tcW w:w="5245" w:type="dxa"/>
          </w:tcPr>
          <w:p w:rsidR="00416D36" w:rsidRPr="00E57CF7" w:rsidRDefault="00E57CF7" w:rsidP="004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Срок  размещения протокола подведения итогов на официальном сайте администрации  муниципального образования «город Усть-Кут» в информационно-телекоммуникационной сети "Интернет" – не позднее 14–</w:t>
            </w:r>
            <w:proofErr w:type="spellStart"/>
            <w:r w:rsidRPr="00E57C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</w:t>
            </w:r>
            <w:proofErr w:type="spellEnd"/>
            <w:r w:rsidRPr="00E57C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календарного дня, следующего за  днем определения победителя отбора.</w:t>
            </w:r>
          </w:p>
        </w:tc>
      </w:tr>
      <w:tr w:rsidR="00A837A5" w:rsidTr="00AD120E">
        <w:tc>
          <w:tcPr>
            <w:tcW w:w="378" w:type="dxa"/>
          </w:tcPr>
          <w:p w:rsidR="00A837A5" w:rsidRPr="00A837A5" w:rsidRDefault="00A837A5" w:rsidP="00416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7A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44" w:type="dxa"/>
            <w:gridSpan w:val="2"/>
          </w:tcPr>
          <w:p w:rsidR="00A837A5" w:rsidRPr="00A837A5" w:rsidRDefault="00A837A5" w:rsidP="008A3BE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37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Объем распределяемой субсидии в рамках отбора, порядок расчета размера субсидии, правила распределения субсидии по результатам отбора.</w:t>
            </w:r>
          </w:p>
          <w:p w:rsidR="00A837A5" w:rsidRPr="00A837A5" w:rsidRDefault="00A837A5" w:rsidP="00572F22">
            <w:pPr>
              <w:widowControl w:val="0"/>
              <w:tabs>
                <w:tab w:val="left" w:pos="0"/>
              </w:tabs>
              <w:suppressAutoHyphens/>
              <w:spacing w:before="108" w:after="108"/>
              <w:ind w:firstLine="63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Объем распределяемой субсидии рассчитывается по формуле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A837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1</w:t>
            </w:r>
          </w:p>
          <w:p w:rsidR="00A837A5" w:rsidRPr="00A837A5" w:rsidRDefault="00A837A5" w:rsidP="00A837A5">
            <w:pPr>
              <w:widowControl w:val="0"/>
              <w:tabs>
                <w:tab w:val="left" w:pos="0"/>
              </w:tabs>
              <w:suppressAutoHyphens/>
              <w:spacing w:before="108" w:after="108"/>
              <w:ind w:firstLine="63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37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Pr="00A837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 1</w:t>
            </w:r>
            <w:r w:rsidRPr="00A837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 = </w:t>
            </w:r>
            <w:proofErr w:type="gramStart"/>
            <w:r w:rsidRPr="00A837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∑(</w:t>
            </w:r>
            <w:proofErr w:type="gramEnd"/>
            <w:r>
              <w:rPr>
                <w:rFonts w:ascii="Arial" w:hAnsi="Arial" w:cs="Arial"/>
                <w:bCs/>
                <w:color w:val="000000"/>
                <w:lang w:eastAsia="zh-CN"/>
              </w:rPr>
              <w:t>ОЗ</w:t>
            </w:r>
            <w:r w:rsidRPr="00A837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* Р</w:t>
            </w:r>
            <w:r w:rsidRPr="00A837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 1</w:t>
            </w:r>
            <w:r w:rsidRPr="00A837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*90%</w:t>
            </w:r>
            <w:r w:rsidRPr="00A837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где:</w:t>
            </w:r>
          </w:p>
          <w:p w:rsidR="00A837A5" w:rsidRPr="00A837A5" w:rsidRDefault="00A837A5" w:rsidP="00A837A5">
            <w:pPr>
              <w:widowControl w:val="0"/>
              <w:tabs>
                <w:tab w:val="left" w:pos="0"/>
              </w:tabs>
              <w:suppressAutoHyphens/>
              <w:spacing w:before="108" w:after="108"/>
              <w:ind w:firstLine="63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ОЗ</w:t>
            </w:r>
            <w:r w:rsidRPr="00A837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объем затрат, необходимый для достижения единицы результата предоставления субсидии</w:t>
            </w:r>
            <w:r w:rsidRPr="00A837A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A837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предварительным</w:t>
            </w:r>
            <w:r w:rsidRPr="00A837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расчетом;</w:t>
            </w:r>
          </w:p>
          <w:p w:rsidR="00A837A5" w:rsidRPr="00A837A5" w:rsidRDefault="00A837A5" w:rsidP="00A837A5">
            <w:pPr>
              <w:widowControl w:val="0"/>
              <w:tabs>
                <w:tab w:val="left" w:pos="0"/>
              </w:tabs>
              <w:suppressAutoHyphens/>
              <w:spacing w:before="108" w:after="108"/>
              <w:ind w:firstLine="63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37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837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 1</w:t>
            </w:r>
            <w:r w:rsidRPr="00A837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 - прогнозное </w:t>
            </w:r>
            <w:proofErr w:type="gramStart"/>
            <w:r w:rsidRPr="00A837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37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единиц</w:t>
            </w:r>
            <w:proofErr w:type="gramEnd"/>
            <w:r w:rsidRPr="00A837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результата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(домов)</w:t>
            </w:r>
            <w:r w:rsidRPr="00A837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предоставления субсидии.</w:t>
            </w:r>
          </w:p>
          <w:p w:rsidR="00A837A5" w:rsidRPr="00A837A5" w:rsidRDefault="00A837A5" w:rsidP="00572F22">
            <w:pPr>
              <w:widowControl w:val="0"/>
              <w:tabs>
                <w:tab w:val="left" w:pos="0"/>
              </w:tabs>
              <w:suppressAutoHyphens/>
              <w:spacing w:before="108" w:after="108"/>
              <w:ind w:firstLine="63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tbl>
            <w:tblPr>
              <w:tblStyle w:val="1"/>
              <w:tblW w:w="10148" w:type="dxa"/>
              <w:tblLayout w:type="fixed"/>
              <w:tblLook w:val="04A0" w:firstRow="1" w:lastRow="0" w:firstColumn="1" w:lastColumn="0" w:noHBand="0" w:noVBand="1"/>
            </w:tblPr>
            <w:tblGrid>
              <w:gridCol w:w="411"/>
              <w:gridCol w:w="2750"/>
              <w:gridCol w:w="709"/>
              <w:gridCol w:w="992"/>
              <w:gridCol w:w="992"/>
              <w:gridCol w:w="1560"/>
              <w:gridCol w:w="2734"/>
            </w:tblGrid>
            <w:tr w:rsidR="00A837A5" w:rsidRPr="00572F22" w:rsidTr="00A837A5">
              <w:trPr>
                <w:trHeight w:val="288"/>
              </w:trPr>
              <w:tc>
                <w:tcPr>
                  <w:tcW w:w="411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572F22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№</w:t>
                  </w:r>
                </w:p>
              </w:tc>
              <w:tc>
                <w:tcPr>
                  <w:tcW w:w="2750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572F22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Адрес многоквартирно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го</w:t>
                  </w:r>
                  <w:r w:rsidRPr="00572F22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дом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а</w:t>
                  </w:r>
                </w:p>
              </w:tc>
              <w:tc>
                <w:tcPr>
                  <w:tcW w:w="709" w:type="dxa"/>
                </w:tcPr>
                <w:p w:rsidR="00A837A5" w:rsidRPr="00572F22" w:rsidRDefault="00A837A5" w:rsidP="00A837A5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Количество домов, ед.</w:t>
                  </w:r>
                </w:p>
              </w:tc>
              <w:tc>
                <w:tcPr>
                  <w:tcW w:w="992" w:type="dxa"/>
                </w:tcPr>
                <w:p w:rsidR="00A837A5" w:rsidRPr="00572F22" w:rsidRDefault="00A837A5" w:rsidP="00A837A5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572F22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Кол-во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. </w:t>
                  </w:r>
                  <w:r w:rsidRPr="00572F22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результата</w:t>
                  </w:r>
                </w:p>
              </w:tc>
              <w:tc>
                <w:tcPr>
                  <w:tcW w:w="992" w:type="dxa"/>
                </w:tcPr>
                <w:p w:rsidR="00A837A5" w:rsidRPr="00572F22" w:rsidRDefault="00A837A5" w:rsidP="00A837A5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Примерный объем ЖБО в месяц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м.куб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:rsidR="00A837A5" w:rsidRPr="00572F22" w:rsidRDefault="00A837A5" w:rsidP="00A837A5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Предварительный расчет о</w:t>
                  </w:r>
                  <w:r w:rsidRPr="00572F22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бъем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а</w:t>
                  </w:r>
                  <w:r w:rsidRPr="00572F22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затрат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(гр.3х11 мес.х350 рублей)</w:t>
                  </w:r>
                </w:p>
              </w:tc>
              <w:tc>
                <w:tcPr>
                  <w:tcW w:w="2734" w:type="dxa"/>
                </w:tcPr>
                <w:p w:rsidR="00A837A5" w:rsidRDefault="00A837A5" w:rsidP="00A837A5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572F22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Размер </w:t>
                  </w:r>
                </w:p>
                <w:p w:rsidR="00A837A5" w:rsidRDefault="00A837A5" w:rsidP="00A837A5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572F22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субсидии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, </w:t>
                  </w:r>
                </w:p>
                <w:p w:rsidR="00A837A5" w:rsidRPr="00572F22" w:rsidRDefault="00A837A5" w:rsidP="00A837A5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(гр.4х90%)</w:t>
                  </w:r>
                </w:p>
              </w:tc>
            </w:tr>
            <w:tr w:rsidR="00A837A5" w:rsidRPr="00572F22" w:rsidTr="00A837A5">
              <w:trPr>
                <w:trHeight w:val="275"/>
              </w:trPr>
              <w:tc>
                <w:tcPr>
                  <w:tcW w:w="411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750" w:type="dxa"/>
                </w:tcPr>
                <w:p w:rsidR="00A837A5" w:rsidRPr="00DE70DC" w:rsidRDefault="00A837A5" w:rsidP="003F19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A837A5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992" w:type="dxa"/>
                </w:tcPr>
                <w:p w:rsidR="00A837A5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A837A5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A837A5" w:rsidRDefault="00A837A5" w:rsidP="00A837A5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2734" w:type="dxa"/>
                </w:tcPr>
                <w:p w:rsidR="00A837A5" w:rsidRDefault="00A837A5" w:rsidP="00A837A5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</w:tr>
            <w:tr w:rsidR="00A837A5" w:rsidRPr="00572F22" w:rsidTr="00A837A5">
              <w:trPr>
                <w:trHeight w:val="552"/>
              </w:trPr>
              <w:tc>
                <w:tcPr>
                  <w:tcW w:w="411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572F22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1</w:t>
                  </w:r>
                </w:p>
              </w:tc>
              <w:tc>
                <w:tcPr>
                  <w:tcW w:w="2750" w:type="dxa"/>
                </w:tcPr>
                <w:p w:rsidR="00A837A5" w:rsidRPr="00DE70DC" w:rsidRDefault="00A837A5" w:rsidP="003F19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ул.Щорса</w:t>
                  </w:r>
                  <w:proofErr w:type="spellEnd"/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45 – 2073,9 </w:t>
                  </w:r>
                  <w:proofErr w:type="spellStart"/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.;</w:t>
                  </w:r>
                </w:p>
              </w:tc>
              <w:tc>
                <w:tcPr>
                  <w:tcW w:w="709" w:type="dxa"/>
                </w:tcPr>
                <w:p w:rsidR="00A837A5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2073,9 </w:t>
                  </w:r>
                </w:p>
              </w:tc>
              <w:tc>
                <w:tcPr>
                  <w:tcW w:w="992" w:type="dxa"/>
                </w:tcPr>
                <w:p w:rsidR="00A837A5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700</w:t>
                  </w:r>
                </w:p>
              </w:tc>
              <w:tc>
                <w:tcPr>
                  <w:tcW w:w="1560" w:type="dxa"/>
                </w:tcPr>
                <w:p w:rsidR="00A837A5" w:rsidRPr="00572F22" w:rsidRDefault="00A837A5" w:rsidP="00A837A5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2 695 000,00</w:t>
                  </w:r>
                </w:p>
              </w:tc>
              <w:tc>
                <w:tcPr>
                  <w:tcW w:w="2734" w:type="dxa"/>
                </w:tcPr>
                <w:p w:rsidR="00A837A5" w:rsidRPr="00572F22" w:rsidRDefault="00A837A5" w:rsidP="00A837A5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2 425 500,00</w:t>
                  </w:r>
                </w:p>
              </w:tc>
            </w:tr>
            <w:tr w:rsidR="00A837A5" w:rsidRPr="00572F22" w:rsidTr="00A837A5">
              <w:trPr>
                <w:trHeight w:val="552"/>
              </w:trPr>
              <w:tc>
                <w:tcPr>
                  <w:tcW w:w="411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572F22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2750" w:type="dxa"/>
                </w:tcPr>
                <w:p w:rsidR="00A837A5" w:rsidRPr="00DE70DC" w:rsidRDefault="00A837A5" w:rsidP="003F19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Седова, 35а – 1213,2 </w:t>
                  </w:r>
                  <w:proofErr w:type="spellStart"/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.;</w:t>
                  </w:r>
                </w:p>
              </w:tc>
              <w:tc>
                <w:tcPr>
                  <w:tcW w:w="709" w:type="dxa"/>
                </w:tcPr>
                <w:p w:rsidR="00A837A5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837A5" w:rsidRPr="00572F22" w:rsidRDefault="00A837A5" w:rsidP="00A837A5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1213,2 </w:t>
                  </w:r>
                </w:p>
              </w:tc>
              <w:tc>
                <w:tcPr>
                  <w:tcW w:w="992" w:type="dxa"/>
                </w:tcPr>
                <w:p w:rsidR="00A837A5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200</w:t>
                  </w:r>
                </w:p>
              </w:tc>
              <w:tc>
                <w:tcPr>
                  <w:tcW w:w="1560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770 000,00</w:t>
                  </w:r>
                </w:p>
              </w:tc>
              <w:tc>
                <w:tcPr>
                  <w:tcW w:w="2734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693 000,00</w:t>
                  </w:r>
                </w:p>
              </w:tc>
            </w:tr>
            <w:tr w:rsidR="00A837A5" w:rsidRPr="00572F22" w:rsidTr="00A837A5">
              <w:trPr>
                <w:trHeight w:val="552"/>
              </w:trPr>
              <w:tc>
                <w:tcPr>
                  <w:tcW w:w="411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572F22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2750" w:type="dxa"/>
                </w:tcPr>
                <w:p w:rsidR="00A837A5" w:rsidRPr="00DE70DC" w:rsidRDefault="00A837A5" w:rsidP="003F19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ул.Зверева</w:t>
                  </w:r>
                  <w:proofErr w:type="spellEnd"/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122 – 261 </w:t>
                  </w:r>
                  <w:proofErr w:type="spellStart"/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.;</w:t>
                  </w:r>
                </w:p>
              </w:tc>
              <w:tc>
                <w:tcPr>
                  <w:tcW w:w="709" w:type="dxa"/>
                </w:tcPr>
                <w:p w:rsidR="00A837A5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261 </w:t>
                  </w:r>
                </w:p>
              </w:tc>
              <w:tc>
                <w:tcPr>
                  <w:tcW w:w="992" w:type="dxa"/>
                </w:tcPr>
                <w:p w:rsidR="00A837A5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80</w:t>
                  </w:r>
                </w:p>
              </w:tc>
              <w:tc>
                <w:tcPr>
                  <w:tcW w:w="1560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308 000,00</w:t>
                  </w:r>
                </w:p>
              </w:tc>
              <w:tc>
                <w:tcPr>
                  <w:tcW w:w="2734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277 200,00</w:t>
                  </w:r>
                </w:p>
              </w:tc>
            </w:tr>
            <w:tr w:rsidR="00A837A5" w:rsidRPr="00572F22" w:rsidTr="00A837A5">
              <w:trPr>
                <w:trHeight w:val="539"/>
              </w:trPr>
              <w:tc>
                <w:tcPr>
                  <w:tcW w:w="411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572F22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2750" w:type="dxa"/>
                </w:tcPr>
                <w:p w:rsidR="00A837A5" w:rsidRPr="00DE70DC" w:rsidRDefault="00A837A5" w:rsidP="003F19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Седова, 16 – 873,2 </w:t>
                  </w:r>
                  <w:proofErr w:type="spellStart"/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.;</w:t>
                  </w:r>
                </w:p>
              </w:tc>
              <w:tc>
                <w:tcPr>
                  <w:tcW w:w="709" w:type="dxa"/>
                </w:tcPr>
                <w:p w:rsidR="00A837A5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837A5" w:rsidRPr="00572F22" w:rsidRDefault="00A837A5" w:rsidP="00A837A5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873,2 </w:t>
                  </w:r>
                </w:p>
              </w:tc>
              <w:tc>
                <w:tcPr>
                  <w:tcW w:w="992" w:type="dxa"/>
                </w:tcPr>
                <w:p w:rsidR="00A837A5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150</w:t>
                  </w:r>
                </w:p>
              </w:tc>
              <w:tc>
                <w:tcPr>
                  <w:tcW w:w="1560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577 500,00</w:t>
                  </w:r>
                </w:p>
              </w:tc>
              <w:tc>
                <w:tcPr>
                  <w:tcW w:w="2734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519 750,00</w:t>
                  </w:r>
                </w:p>
              </w:tc>
            </w:tr>
            <w:tr w:rsidR="00A837A5" w:rsidRPr="00572F22" w:rsidTr="00A837A5">
              <w:trPr>
                <w:trHeight w:val="552"/>
              </w:trPr>
              <w:tc>
                <w:tcPr>
                  <w:tcW w:w="411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572F22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2750" w:type="dxa"/>
                </w:tcPr>
                <w:p w:rsidR="00A837A5" w:rsidRPr="00DE70DC" w:rsidRDefault="00A837A5" w:rsidP="003F19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ул.Седова</w:t>
                  </w:r>
                  <w:proofErr w:type="spellEnd"/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27а – 739,2 </w:t>
                  </w:r>
                  <w:proofErr w:type="spellStart"/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.;</w:t>
                  </w:r>
                </w:p>
              </w:tc>
              <w:tc>
                <w:tcPr>
                  <w:tcW w:w="709" w:type="dxa"/>
                </w:tcPr>
                <w:p w:rsidR="00A837A5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837A5" w:rsidRPr="00572F22" w:rsidRDefault="00A837A5" w:rsidP="00A837A5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739,2 </w:t>
                  </w:r>
                </w:p>
              </w:tc>
              <w:tc>
                <w:tcPr>
                  <w:tcW w:w="992" w:type="dxa"/>
                </w:tcPr>
                <w:p w:rsidR="00A837A5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120</w:t>
                  </w:r>
                </w:p>
              </w:tc>
              <w:tc>
                <w:tcPr>
                  <w:tcW w:w="1560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462 000,00</w:t>
                  </w:r>
                </w:p>
              </w:tc>
              <w:tc>
                <w:tcPr>
                  <w:tcW w:w="2734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415 800,00</w:t>
                  </w:r>
                </w:p>
              </w:tc>
            </w:tr>
            <w:tr w:rsidR="00A837A5" w:rsidRPr="00572F22" w:rsidTr="00A837A5">
              <w:trPr>
                <w:trHeight w:val="552"/>
              </w:trPr>
              <w:tc>
                <w:tcPr>
                  <w:tcW w:w="411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572F22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6</w:t>
                  </w:r>
                </w:p>
              </w:tc>
              <w:tc>
                <w:tcPr>
                  <w:tcW w:w="2750" w:type="dxa"/>
                </w:tcPr>
                <w:p w:rsidR="00A837A5" w:rsidRPr="00DE70DC" w:rsidRDefault="00A837A5" w:rsidP="003F19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Советская, 88 - 536 ,6 </w:t>
                  </w:r>
                  <w:proofErr w:type="spellStart"/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.;</w:t>
                  </w:r>
                </w:p>
              </w:tc>
              <w:tc>
                <w:tcPr>
                  <w:tcW w:w="709" w:type="dxa"/>
                </w:tcPr>
                <w:p w:rsidR="00A837A5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837A5" w:rsidRPr="00572F22" w:rsidRDefault="00A837A5" w:rsidP="00A837A5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536,6 </w:t>
                  </w:r>
                </w:p>
              </w:tc>
              <w:tc>
                <w:tcPr>
                  <w:tcW w:w="992" w:type="dxa"/>
                </w:tcPr>
                <w:p w:rsidR="00A837A5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150</w:t>
                  </w:r>
                </w:p>
              </w:tc>
              <w:tc>
                <w:tcPr>
                  <w:tcW w:w="1560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577 500,00</w:t>
                  </w:r>
                </w:p>
              </w:tc>
              <w:tc>
                <w:tcPr>
                  <w:tcW w:w="2734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519 750,00</w:t>
                  </w:r>
                </w:p>
              </w:tc>
            </w:tr>
            <w:tr w:rsidR="00A837A5" w:rsidRPr="00572F22" w:rsidTr="00A837A5">
              <w:trPr>
                <w:trHeight w:val="552"/>
              </w:trPr>
              <w:tc>
                <w:tcPr>
                  <w:tcW w:w="411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572F22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7</w:t>
                  </w:r>
                </w:p>
              </w:tc>
              <w:tc>
                <w:tcPr>
                  <w:tcW w:w="2750" w:type="dxa"/>
                </w:tcPr>
                <w:p w:rsidR="00A837A5" w:rsidRPr="00DE70DC" w:rsidRDefault="00A837A5" w:rsidP="003F19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ул.Ковпака</w:t>
                  </w:r>
                  <w:proofErr w:type="spellEnd"/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5 – 486,2 </w:t>
                  </w:r>
                  <w:proofErr w:type="spellStart"/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.;</w:t>
                  </w:r>
                </w:p>
              </w:tc>
              <w:tc>
                <w:tcPr>
                  <w:tcW w:w="709" w:type="dxa"/>
                </w:tcPr>
                <w:p w:rsidR="00A837A5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837A5" w:rsidRPr="00572F22" w:rsidRDefault="00A837A5" w:rsidP="00A837A5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486,2 </w:t>
                  </w:r>
                </w:p>
              </w:tc>
              <w:tc>
                <w:tcPr>
                  <w:tcW w:w="992" w:type="dxa"/>
                </w:tcPr>
                <w:p w:rsidR="00A837A5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30</w:t>
                  </w:r>
                </w:p>
              </w:tc>
              <w:tc>
                <w:tcPr>
                  <w:tcW w:w="1560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115 500,00</w:t>
                  </w:r>
                </w:p>
              </w:tc>
              <w:tc>
                <w:tcPr>
                  <w:tcW w:w="2734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103 950,00</w:t>
                  </w:r>
                </w:p>
              </w:tc>
            </w:tr>
            <w:tr w:rsidR="00A837A5" w:rsidRPr="00572F22" w:rsidTr="00A837A5">
              <w:trPr>
                <w:trHeight w:val="552"/>
              </w:trPr>
              <w:tc>
                <w:tcPr>
                  <w:tcW w:w="411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8</w:t>
                  </w:r>
                </w:p>
              </w:tc>
              <w:tc>
                <w:tcPr>
                  <w:tcW w:w="2750" w:type="dxa"/>
                </w:tcPr>
                <w:p w:rsidR="00A837A5" w:rsidRPr="00DE70DC" w:rsidRDefault="00A837A5" w:rsidP="003F19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ул.Полевая</w:t>
                  </w:r>
                  <w:proofErr w:type="spellEnd"/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6 – 726,2 </w:t>
                  </w:r>
                  <w:proofErr w:type="spellStart"/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.;</w:t>
                  </w:r>
                </w:p>
              </w:tc>
              <w:tc>
                <w:tcPr>
                  <w:tcW w:w="709" w:type="dxa"/>
                </w:tcPr>
                <w:p w:rsidR="00A837A5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837A5" w:rsidRPr="00572F22" w:rsidRDefault="00A837A5" w:rsidP="00A837A5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726,2 </w:t>
                  </w:r>
                </w:p>
              </w:tc>
              <w:tc>
                <w:tcPr>
                  <w:tcW w:w="992" w:type="dxa"/>
                </w:tcPr>
                <w:p w:rsidR="00A837A5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40</w:t>
                  </w:r>
                </w:p>
              </w:tc>
              <w:tc>
                <w:tcPr>
                  <w:tcW w:w="1560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154 000,00</w:t>
                  </w:r>
                </w:p>
              </w:tc>
              <w:tc>
                <w:tcPr>
                  <w:tcW w:w="2734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138 600,00</w:t>
                  </w:r>
                </w:p>
              </w:tc>
            </w:tr>
            <w:tr w:rsidR="00A837A5" w:rsidRPr="00572F22" w:rsidTr="00A837A5">
              <w:trPr>
                <w:trHeight w:val="552"/>
              </w:trPr>
              <w:tc>
                <w:tcPr>
                  <w:tcW w:w="411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9</w:t>
                  </w:r>
                </w:p>
              </w:tc>
              <w:tc>
                <w:tcPr>
                  <w:tcW w:w="2750" w:type="dxa"/>
                </w:tcPr>
                <w:p w:rsidR="00A837A5" w:rsidRPr="00DE70DC" w:rsidRDefault="00A837A5" w:rsidP="003F19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Первооткрывателей, 1 – 660,6 </w:t>
                  </w:r>
                  <w:proofErr w:type="spellStart"/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.;</w:t>
                  </w:r>
                </w:p>
              </w:tc>
              <w:tc>
                <w:tcPr>
                  <w:tcW w:w="709" w:type="dxa"/>
                </w:tcPr>
                <w:p w:rsidR="00A837A5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837A5" w:rsidRPr="00572F22" w:rsidRDefault="00A837A5" w:rsidP="00A837A5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660,6 </w:t>
                  </w:r>
                </w:p>
              </w:tc>
              <w:tc>
                <w:tcPr>
                  <w:tcW w:w="992" w:type="dxa"/>
                </w:tcPr>
                <w:p w:rsidR="00A837A5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50</w:t>
                  </w:r>
                </w:p>
              </w:tc>
              <w:tc>
                <w:tcPr>
                  <w:tcW w:w="1560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192 500,00</w:t>
                  </w:r>
                </w:p>
              </w:tc>
              <w:tc>
                <w:tcPr>
                  <w:tcW w:w="2734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173 250,00</w:t>
                  </w:r>
                </w:p>
              </w:tc>
            </w:tr>
            <w:tr w:rsidR="00A837A5" w:rsidRPr="00572F22" w:rsidTr="00A837A5">
              <w:trPr>
                <w:trHeight w:val="552"/>
              </w:trPr>
              <w:tc>
                <w:tcPr>
                  <w:tcW w:w="411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10</w:t>
                  </w:r>
                </w:p>
              </w:tc>
              <w:tc>
                <w:tcPr>
                  <w:tcW w:w="2750" w:type="dxa"/>
                </w:tcPr>
                <w:p w:rsidR="00A837A5" w:rsidRDefault="00A837A5" w:rsidP="003F1910">
                  <w:proofErr w:type="spellStart"/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ул.Котовского</w:t>
                  </w:r>
                  <w:proofErr w:type="spellEnd"/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18 – 731,11 </w:t>
                  </w:r>
                  <w:proofErr w:type="spellStart"/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DE7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A837A5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837A5" w:rsidRPr="00572F22" w:rsidRDefault="00A837A5" w:rsidP="00A837A5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731,11 </w:t>
                  </w:r>
                </w:p>
              </w:tc>
              <w:tc>
                <w:tcPr>
                  <w:tcW w:w="992" w:type="dxa"/>
                </w:tcPr>
                <w:p w:rsidR="00A837A5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120</w:t>
                  </w:r>
                </w:p>
              </w:tc>
              <w:tc>
                <w:tcPr>
                  <w:tcW w:w="1560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462 000,00</w:t>
                  </w:r>
                </w:p>
              </w:tc>
              <w:tc>
                <w:tcPr>
                  <w:tcW w:w="2734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415 800,00</w:t>
                  </w:r>
                </w:p>
              </w:tc>
            </w:tr>
            <w:tr w:rsidR="00A837A5" w:rsidRPr="00572F22" w:rsidTr="00A837A5">
              <w:trPr>
                <w:trHeight w:val="275"/>
              </w:trPr>
              <w:tc>
                <w:tcPr>
                  <w:tcW w:w="411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750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572F22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Всего:</w:t>
                  </w:r>
                </w:p>
              </w:tc>
              <w:tc>
                <w:tcPr>
                  <w:tcW w:w="709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A837A5" w:rsidRPr="00572F22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8301,21</w:t>
                  </w:r>
                </w:p>
              </w:tc>
              <w:tc>
                <w:tcPr>
                  <w:tcW w:w="992" w:type="dxa"/>
                </w:tcPr>
                <w:p w:rsidR="00A837A5" w:rsidRDefault="00A837A5" w:rsidP="00572F22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1640</w:t>
                  </w:r>
                </w:p>
              </w:tc>
              <w:tc>
                <w:tcPr>
                  <w:tcW w:w="1560" w:type="dxa"/>
                </w:tcPr>
                <w:p w:rsidR="00A837A5" w:rsidRPr="00572F22" w:rsidRDefault="00A837A5" w:rsidP="00A837A5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6 314 000,00</w:t>
                  </w:r>
                </w:p>
              </w:tc>
              <w:tc>
                <w:tcPr>
                  <w:tcW w:w="2734" w:type="dxa"/>
                </w:tcPr>
                <w:p w:rsidR="00A837A5" w:rsidRPr="00572F22" w:rsidRDefault="00A837A5" w:rsidP="00A837A5">
                  <w:pPr>
                    <w:suppressAutoHyphens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5 682 600,00</w:t>
                  </w:r>
                </w:p>
              </w:tc>
            </w:tr>
          </w:tbl>
          <w:p w:rsidR="00A837A5" w:rsidRPr="00E57CF7" w:rsidRDefault="00A837A5" w:rsidP="0041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416D36" w:rsidRDefault="00416D36" w:rsidP="00416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CF7" w:rsidRDefault="00E57CF7" w:rsidP="00416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36"/>
    <w:rsid w:val="00014471"/>
    <w:rsid w:val="00152C31"/>
    <w:rsid w:val="00267D70"/>
    <w:rsid w:val="00364F0E"/>
    <w:rsid w:val="00416D36"/>
    <w:rsid w:val="00540F01"/>
    <w:rsid w:val="00562007"/>
    <w:rsid w:val="005723F3"/>
    <w:rsid w:val="00572F22"/>
    <w:rsid w:val="005C3AB3"/>
    <w:rsid w:val="00704F00"/>
    <w:rsid w:val="007704BA"/>
    <w:rsid w:val="007716A6"/>
    <w:rsid w:val="008A3BE8"/>
    <w:rsid w:val="00945B94"/>
    <w:rsid w:val="009C5E3E"/>
    <w:rsid w:val="00A02BDE"/>
    <w:rsid w:val="00A837A5"/>
    <w:rsid w:val="00B07C8B"/>
    <w:rsid w:val="00B34712"/>
    <w:rsid w:val="00D205C7"/>
    <w:rsid w:val="00E57CF7"/>
    <w:rsid w:val="00EC6054"/>
    <w:rsid w:val="00F8705D"/>
    <w:rsid w:val="00F9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D17D3-4305-4EAD-AD70-6D6B7D00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C3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C3A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C3AB3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7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F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72F2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572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2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2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ustk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2024-11-25T06:24:00Z</cp:lastPrinted>
  <dcterms:created xsi:type="dcterms:W3CDTF">2024-11-25T07:16:00Z</dcterms:created>
  <dcterms:modified xsi:type="dcterms:W3CDTF">2024-11-26T02:04:00Z</dcterms:modified>
</cp:coreProperties>
</file>